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2EA" w:rsidRPr="00BB6AB0" w:rsidRDefault="00BB6AB0" w:rsidP="00BB6AB0">
      <w:pPr>
        <w:jc w:val="center"/>
        <w:rPr>
          <w:rStyle w:val="a4"/>
          <w:rFonts w:asciiTheme="minorEastAsia" w:hAnsiTheme="minorEastAsia" w:cs="黑体"/>
          <w:color w:val="FF0000"/>
          <w:sz w:val="28"/>
          <w:szCs w:val="28"/>
          <w:shd w:val="clear" w:color="auto" w:fill="FFFFFF"/>
        </w:rPr>
      </w:pPr>
      <w:r w:rsidRPr="00BB6AB0">
        <w:rPr>
          <w:rStyle w:val="a4"/>
          <w:rFonts w:asciiTheme="minorEastAsia" w:hAnsiTheme="minorEastAsia" w:cs="黑体" w:hint="eastAsia"/>
          <w:color w:val="FF0000"/>
          <w:sz w:val="28"/>
          <w:szCs w:val="28"/>
          <w:shd w:val="clear" w:color="auto" w:fill="FFFFFF"/>
        </w:rPr>
        <w:t>寒假作业：（四）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/>
          <w:kern w:val="0"/>
          <w:szCs w:val="21"/>
          <w:shd w:val="clear" w:color="auto" w:fill="FFFFFF"/>
          <w:lang/>
        </w:rPr>
        <w:t>12.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下图为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2018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年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10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月至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2019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年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10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月全国居民消费价格涨跌情况</w:t>
      </w:r>
      <w:hyperlink r:id="rId7" w:tgtFrame="http://z3.2003y.net/117787/_blank" w:tooltip="点击图片看全图" w:history="1"/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/>
          <w:noProof/>
          <w:szCs w:val="21"/>
        </w:rPr>
        <w:drawing>
          <wp:inline distT="0" distB="0" distL="0" distR="0">
            <wp:extent cx="4914900" cy="2603500"/>
            <wp:effectExtent l="19050" t="0" r="0" b="0"/>
            <wp:docPr id="3" name="图片 1" descr="http://z3.2003y.net/117787/uploadpic/20200106223933185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3.2003y.net/117787/uploadpic/202001062239331856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60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9" w:tgtFrame="http://z3.2003y.net/117787/_blank" w:tooltip="点击图片看全图" w:history="1"/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注：</w:t>
      </w: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2019</w:t>
      </w: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年</w:t>
      </w: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10</w:t>
      </w: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月猪肉价格上涨</w:t>
      </w: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101.3%,</w:t>
      </w: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影响</w:t>
      </w: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CPI</w:t>
      </w: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（居民消费价格指数）上涨约</w:t>
      </w: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2.43</w:t>
      </w: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个百分点</w:t>
      </w: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CPI</w:t>
      </w:r>
      <w:proofErr w:type="gramStart"/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同比总</w:t>
      </w:r>
      <w:proofErr w:type="gramEnd"/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涨幅的近三分之二。对此理解正确的</w:t>
      </w: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是：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①国家将采取措施促进生猪养殖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②国家应该实施从紧的财政政策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③表明市场调节失灵，市场秩序混乱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④消费者会减少对猪肉的消费</w:t>
      </w:r>
    </w:p>
    <w:p w:rsidR="000C02EA" w:rsidRP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A.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①②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B.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①④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C.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②③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D.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③④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13.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下图为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2010</w:t>
      </w:r>
      <w:r w:rsidRPr="00BB6AB0">
        <w:rPr>
          <w:rFonts w:asciiTheme="minorEastAsia" w:eastAsia="PMingLiU" w:hAnsi="PMingLiU" w:cs="PMingLiU"/>
          <w:kern w:val="0"/>
          <w:szCs w:val="21"/>
          <w:shd w:val="clear" w:color="auto" w:fill="FFFFFF"/>
          <w:lang/>
        </w:rPr>
        <w:t>〜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2018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年中国企业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500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强入围企业所有制结构变化趋势图，据此可以推断出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中国企业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500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强入围企业所有制结构变化趋势图：</w:t>
      </w:r>
      <w:hyperlink r:id="rId10" w:tgtFrame="http://z3.2003y.net/117787/_blank" w:tooltip="点击图片看全图" w:history="1"/>
    </w:p>
    <w:p w:rsidR="000C02EA" w:rsidRPr="00BB6AB0" w:rsidRDefault="000C02EA" w:rsidP="00BB6AB0">
      <w:pPr>
        <w:widowControl/>
        <w:jc w:val="left"/>
        <w:rPr>
          <w:rFonts w:asciiTheme="minorEastAsia" w:hAnsiTheme="minorEastAsia"/>
          <w:szCs w:val="21"/>
        </w:rPr>
      </w:pPr>
      <w:hyperlink r:id="rId11" w:tgtFrame="http://z3.2003y.net/117787/_blank" w:tooltip="点击图片看全图" w:history="1"/>
    </w:p>
    <w:p w:rsidR="000C02EA" w:rsidRPr="00BB6AB0" w:rsidRDefault="00BB6AB0" w:rsidP="00BB6AB0">
      <w:pPr>
        <w:pStyle w:val="a3"/>
        <w:widowControl/>
        <w:shd w:val="clear" w:color="auto" w:fill="FFFFFF"/>
        <w:spacing w:beforeAutospacing="0" w:afterAutospacing="0"/>
        <w:jc w:val="center"/>
        <w:rPr>
          <w:rFonts w:asciiTheme="minorEastAsia" w:hAnsiTheme="minorEastAsia" w:cs="宋体"/>
          <w:sz w:val="21"/>
          <w:szCs w:val="21"/>
        </w:rPr>
      </w:pPr>
      <w:r w:rsidRPr="00BB6AB0">
        <w:rPr>
          <w:rFonts w:asciiTheme="minorEastAsia" w:hAnsiTheme="minorEastAsia" w:cs="宋体" w:hint="eastAsia"/>
          <w:noProof/>
          <w:sz w:val="21"/>
          <w:szCs w:val="21"/>
          <w:shd w:val="clear" w:color="auto" w:fill="FFFFFF"/>
        </w:rPr>
        <w:drawing>
          <wp:inline distT="0" distB="0" distL="114300" distR="114300">
            <wp:extent cx="5972175" cy="1495425"/>
            <wp:effectExtent l="0" t="0" r="9525" b="9525"/>
            <wp:docPr id="1" name="图片 2" descr="IMG_257">
              <a:hlinkClick xmlns:a="http://schemas.openxmlformats.org/drawingml/2006/main" r:id="rId11" tooltip="点击图片看全图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lastRenderedPageBreak/>
        <w:t>①民营企业的活力和竞争力不断增强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②国有经济在国民经济中的主导作用减弱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③我国坚持和发展多种所有制经济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④民营企业的发展得益于其合理的分配</w:t>
      </w:r>
    </w:p>
    <w:p w:rsidR="000C02EA" w:rsidRP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A.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①②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B.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①③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C.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②④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D.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③④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14.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中国经济的韧性来自于巨大的市场优势。近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14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亿人口的庞大市场、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4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亿多中等收入群体的强大购买力，是任何国家都无法比拟的。巨大的市场优势发挥作用的路径是：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①将释放源源不断的消费潜力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②支撑中国经济的高质量发展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倒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逼深化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供给侧结构性改革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④促进产品质量提升和产业转型</w:t>
      </w:r>
    </w:p>
    <w:p w:rsid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A.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①—②—③—④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B.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①一③―②一④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</w:t>
      </w:r>
    </w:p>
    <w:p w:rsidR="000C02EA" w:rsidRP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C.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①—③―④―②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D.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①一④一③—②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15.2019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年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11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5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日至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10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日，第二届中国国际进口博览会在上海举行。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本届进博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会交易采购成果丰硕，按一年计，累计意向成交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711.3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亿美元，比首届增长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23%O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在进博会上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的买主不仅是中国买家，境外采购商的数量也在快速增长。材料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说明进博会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：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①挤压了中国企业的市场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②具有“买全球、卖全球”的国际影响力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③仅是商品交易的重要平台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④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进博会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体现了世界各国和中国共享发展机遇</w:t>
      </w:r>
    </w:p>
    <w:p w:rsidR="000C02EA" w:rsidRP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A.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①③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B.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①④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C.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②③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D.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②④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16.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党的十九届四中全会提出要优化政府组织结构。推进机构、职能、权限、程序、责任法定化，使政府机构设置更加科学、职能更加优化、权责更加协同。优化政府组织结构：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①有利于推进国家治理体系和治理能力现代化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②是政府政务公开的内在要求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③有利于政府依法合理地行使职能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④是我国坚持依法治国的前提</w:t>
      </w:r>
    </w:p>
    <w:p w:rsidR="000C02EA" w:rsidRP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A.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①③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B.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①④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C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②③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D.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②④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17.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为落实好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农村低保政策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，做到贫困人员应保尽保，某村村委会召开了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2019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年度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农村低保民主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评议会。由村委成员及村民组成的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农村低保民主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评议小组成员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lastRenderedPageBreak/>
        <w:t>参加会议，对全村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低保申请户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进行民主评议并投票表决，当场宣布评议结果，并将评议结果公布于村务专栏。该村委会的做法：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①有利于保障公民的基本民主权利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②是基层民主政治建设的具体尝试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③是村民参与民主管理的具体实践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④创新了村民自治组织的组织体系</w:t>
      </w:r>
    </w:p>
    <w:p w:rsidR="000C02EA" w:rsidRP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A.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①②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B.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①④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C.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②③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D.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③④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18.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近年来，我国置身世界大发展大变革大调整中，不惑于纷乱现象，不畏于艰难险阻，以元首外交引领扩大全球朋友圈、以开放合作之姿谋求各国共同发展、力倡多边主义推动全球治理改革，不断开创中国特色大国外交新局面。这表明，中国特色大国外交：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①以各国共同利益为基点，促进共同发展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②主导全球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多边治理，建立国际政治经济新秩序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③坚持独立自主的和平外交政策，发挥负责任大国作用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④坚持合作共赢，推动构建人类命运共同体</w:t>
      </w:r>
    </w:p>
    <w:p w:rsidR="000C02EA" w:rsidRP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A.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①②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B.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①④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C.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②③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D.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③④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19.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《中共中央国务院关于促进中医药传承创新发展的意见》于近日发布。《意见》指出，中医药学是中华民族的伟大创造，是中国古代科学的瑰宝，也是打开中华文明宝库的钥匙，为中华民族繁衍生息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作出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了巨大贡献，对世界文明进步产生了积极影响。落实《意见》，应该：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①立足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实践，发展国内外认同的中医药文化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②挖掘中医药文化的精髓，彰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显优秀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传统文化的时代价值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③坚定文化自信，增强中医药文化国际影响力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④在创新的基础上促进中医药文化的发展</w:t>
      </w:r>
    </w:p>
    <w:p w:rsidR="000C02EA" w:rsidRP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A.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①③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B.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①④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C.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②③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D.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②④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20.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《上海市生活垃圾管理条例》正式实施已有百余天。眼下的上海，垃圾分类取得的成果和民众的参与度均可以用“超出预期”来形容。不过，目前上海垃圾分类还存在单位垃圾分类的整体效果还不理想、流动人员参与程度不高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、长效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机制尚需不断完善等问题。这说明：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①实践具有社会历史性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②立足部分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,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促进整体功能和状态的改善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③看问题既要全面，又要分清主次矛盾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④要完善上层建筑以推动经济社会进步</w:t>
      </w:r>
    </w:p>
    <w:p w:rsidR="000C02EA" w:rsidRP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A.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①②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B.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①④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C.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②③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D.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③④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21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“枫桥经验”的核心内容是“发动和依靠群众、坚持矛盾不上交，就地解决，实现捕人少，治安好”。坚持和发展新时代“枫桥经验”，应该：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①以“枫桥经验”为出发点，结合实际化解矛盾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②坚持真理的具体性条件性，一切以时间地点条件为转移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③坚持普遍性与特殊性的具体的历史的统一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④取其精华去其糟粕，创新社会治理方式</w:t>
      </w:r>
    </w:p>
    <w:p w:rsidR="000C02EA" w:rsidRP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A.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①②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B.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①④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C.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②③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D.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③④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22.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我们党是一个敢于斗争、善于斗争并在斗争中不断取得胜利的党。当前，我们党要团结带领人民有效应对重大挑战、抵御重大风险、克服重大阻力、解决重大矛盾。胜利推进各项事业，不展开积极的斗争是不行的。上述论断蕴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含的哲学道理有：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①对任何事物我们都要敢于承认矛盾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②矛盾推动事物的运动、变化和发展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③矛盾的斗争性决定了主要矛盾的具体内容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④矛盾是斗争在生活中的一种具体表现形式</w:t>
      </w:r>
    </w:p>
    <w:p w:rsidR="000C02EA" w:rsidRP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A.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①②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B.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①③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C.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②④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D.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③④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23.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习近平总书记主持中央政治局集体学习《共产党宣言》及其时代意义时指出，我们重温《共产党宣言》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,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就是要把它蕴含的科学原理和科学精神运用到统揽伟大斗争、伟大工程、伟大事业、伟大梦想的实践中去。这是因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为：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①马克思主义能为中华民族伟大复兴提供科学的世界观和方法论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②《共产党宣言》对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170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年后人类社会发展提出的所有具体问题都提供现成答案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③中国特色社会主义进入了新时代，马克思主义要与时俱进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④马克思主义是革命的理论，是无产阶级“改变世界”的思想武器</w:t>
      </w:r>
    </w:p>
    <w:p w:rsidR="000C02EA" w:rsidRP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A.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①②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B.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①④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C.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②③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D.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③④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38.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阅读材料，回答问题。（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26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</w:t>
      </w:r>
    </w:p>
    <w:p w:rsidR="000C02EA" w:rsidRP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材料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一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营商环境是指市场主体在准入、生产经营、退出等过程中涉及的政务环境、市场环境、法治环境、人文环境等有关外部因素和条件的总和。好的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寓商环境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就像阳光、水和空气，须臾不能缺少。当前，优化营商环境已成为激发市场活力、吸引和提振国际投资的关键因素，也成为各国推动国内经济转型升级的共同追求。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2019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年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10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23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日，国务院公布《优化营商环境条例》（以下简称《条例》），自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2020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年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日起施行。《条例》的实施，将为优化营商环境提供更有力的保障和支撑。材料二《条例》起草过程中，进行了大范围的意见征求。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国家发改委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会同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司法部，广泛征求了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60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个中央有关部门、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37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个地方政府、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11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个研究机构、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37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家行业协会商会和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5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个民主党派中央共计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150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个单位的意见，召开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17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场专题会，听取了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150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家内外资企业、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50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个城市分管市领导、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50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位人大代表和政协委员以及美国驻华商会、欧盟驻华商会等机构的意见，并向社会公开征求意见。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（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1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）结合材料</w:t>
      </w:r>
      <w:proofErr w:type="gramStart"/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一</w:t>
      </w:r>
      <w:proofErr w:type="gramEnd"/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，分析优化营商环境对我国经济发展的意义。（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14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分）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 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（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2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）结合材料二和政治生活知识，分析条例起草过程中大范围征求意见的依据。（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12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分）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 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39.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阅读材料，完成下列要求。（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26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</w:t>
      </w:r>
    </w:p>
    <w:p w:rsidR="000C02EA" w:rsidRP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中华人民共和国国家勋章和国家荣誉称号颁授仪式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2019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年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9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29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日上午在北京人民大会堂金色大厅隆重举行。中共中央总书记、国家主席、中央军委主席习近平向国家勋章和国家荣誉称号获得者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颁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授勋章奖章并发表重要讲话。习近平强调，崇尚英雄才会产生英雄，争做英雄才能英雄辈出。伟大出自平凡，平凡造就伟大。只要有坚定的理想信念、不懈的奋斗精神，脚踏实地把每件平凡的事做好，一切平凡的人都可以获得不平凡的人生，一切平凡的工作都可以创造不平凡的成就。以张富清为代表的千千万万英雄模范人物热爱祖国、奉献人民的家国情怀，自强不息、砥砺前行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的奋斗精神，积极进取、崇德向善的高尚情操，为全国人民奋进新时代、共筑中国梦提供了强大精神力量和道德支撑。</w:t>
      </w:r>
    </w:p>
    <w:p w:rsidR="000C02EA" w:rsidRPr="00BB6AB0" w:rsidRDefault="00BB6AB0" w:rsidP="00BB6AB0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（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1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）以张富清为代表的英雄模范们以坚定的理想信念、不懈的奋斗精神和实际行动证明，“一切平凡的人都可以获得不平凡的人生，一切平凡的工作都可以创造不平凡的成就”。运用唯物史观知识加以说明。（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12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分）</w:t>
      </w:r>
    </w:p>
    <w:p w:rsidR="000C02EA" w:rsidRPr="00BB6AB0" w:rsidRDefault="00BB6AB0" w:rsidP="00BB6AB0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 </w:t>
      </w:r>
    </w:p>
    <w:p w:rsidR="000C02EA" w:rsidRPr="00BB6AB0" w:rsidRDefault="00BB6AB0" w:rsidP="00BB6AB0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（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2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）运用文化生活知识，分析国家隆重表彰国家勋章和国家荣誉称号获得者的重大意义。（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10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分）</w:t>
      </w:r>
    </w:p>
    <w:p w:rsidR="000C02EA" w:rsidRPr="00BB6AB0" w:rsidRDefault="00BB6AB0" w:rsidP="00BB6AB0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 </w:t>
      </w:r>
    </w:p>
    <w:p w:rsidR="000C02EA" w:rsidRPr="00BB6AB0" w:rsidRDefault="00BB6AB0" w:rsidP="00BB6AB0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（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3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）请你就“向新时代国家勋章和国家荣誉称号获得者学习”主题班会列出两个发言要点（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4</w:t>
      </w:r>
      <w:r w:rsidRPr="00BB6AB0">
        <w:rPr>
          <w:rFonts w:asciiTheme="minorEastAsia" w:hAnsiTheme="minorEastAsia" w:cs="新宋体" w:hint="eastAsia"/>
          <w:b/>
          <w:kern w:val="0"/>
          <w:szCs w:val="21"/>
          <w:shd w:val="clear" w:color="auto" w:fill="FFFFFF"/>
          <w:lang/>
        </w:rPr>
        <w:t>分）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 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参考答案：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12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～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16 BBCDA 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17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～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21 CDCBC  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 xml:space="preserve">    22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～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23 AB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38.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）①有利于民营经济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\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公有制经济和外资经济平等竞争，激发我国市场活力，促进生产发展。（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3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分）②有利于建立公平、公正的市场秩序和统一开放，竞争有序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地现代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市场体系。（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3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分）③有利于促进国内经济转型升级，实现高质量发展。（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3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分）④有利于促进贸易和投资自由化便利化，吸引和提振国际投资。（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3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分）⑤有利于处理好市场和政府的关系，既充分发挥市场的决定作用，又科学发挥政府的宏观调控。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分）（其他答案，言之有理，可酌情给分）</w:t>
      </w:r>
    </w:p>
    <w:p w:rsidR="000C02EA" w:rsidRP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）①我国是人民民主专政的社会主义国家，公民有参与民主决策的权利。（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3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分）②通过大范围征求意见，有利于集中民智，增强政府决策的科学性；反映民意，体现决策的民主性；增强民众参与决策的热情和信心，增强公民的社会责任感。（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3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分）③政府要依法决策、科学决策、民主决策。（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分）④我国坚持民主集中制。（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分）⑤我国坚持中国共产党领导的多党合作和政治协商制度。（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分）（其他答案，言之有理，可酌情给分）</w:t>
      </w:r>
    </w:p>
    <w:p w:rsidR="000C02EA" w:rsidRPr="00BB6AB0" w:rsidRDefault="00BB6AB0" w:rsidP="00BB6AB0">
      <w:pPr>
        <w:widowControl/>
        <w:shd w:val="clear" w:color="auto" w:fill="FFFFFF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39.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1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）①社会意识是对社会存在的反映又具有相对独立性，先进的社会意识对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社会发展起积极的推动作用。英雄模范们为全国人民奋进新时代、共筑中国梦提供了强大精神力量和道德支撑，激励中国人民为了祖国富强而奋斗。（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4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②人是社会历史的主体，人民群众是社会物质财富和精神财富的创造者，是社会历史变革的决定力量。英雄模范人物以坚定的理想信念、不懈的奋斗精神创造了不平凡的成就，激励人们在实现中华民族伟大复兴的征程中自强不息，建功立业新时代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4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分）③价值观是人生的重要导向。以张富清为代表的英雄模范们在正确价值观的引领下，在劳动和奉献中创造价值，在个人与社会地统一中实现了人生价值。（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4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</w:t>
      </w:r>
    </w:p>
    <w:p w:rsidR="000C02EA" w:rsidRP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）①发挥英雄模范人物的榜样示范作用，引导人民爱岗敬业，为国奉献。（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分）②弘扬改革开放精神和中华民族精神，为新时代全面深化改革开放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凝魂聚气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3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分）③坚定理想信念，培育和</w:t>
      </w:r>
      <w:proofErr w:type="gramStart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践行</w:t>
      </w:r>
      <w:proofErr w:type="gramEnd"/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社会主义核心价值观，培养担当民族复兴大任的新时代新人。（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3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分）④坚定“四个自信”，凝聚民族复兴的坚定意志和磅礴力量。（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2</w:t>
      </w:r>
      <w:r w:rsidRPr="00BB6AB0">
        <w:rPr>
          <w:rFonts w:asciiTheme="minorEastAsia" w:hAnsiTheme="minorEastAsia" w:cs="新宋体" w:hint="eastAsia"/>
          <w:kern w:val="0"/>
          <w:szCs w:val="21"/>
          <w:shd w:val="clear" w:color="auto" w:fill="FFFFFF"/>
          <w:lang/>
        </w:rPr>
        <w:t>分）（其他答案，言之有理，可酌情给分）</w:t>
      </w:r>
    </w:p>
    <w:p w:rsidR="000C02EA" w:rsidRPr="00BB6AB0" w:rsidRDefault="00BB6AB0" w:rsidP="00BB6A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szCs w:val="21"/>
        </w:rPr>
      </w:pP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（</w:t>
      </w: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3</w:t>
      </w: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）示例：树立远大理想，不懈努力奋斗。刻苦努力学习，不断完善自我。敢于大胆创新，勇于探索。（</w:t>
      </w: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4</w:t>
      </w:r>
      <w:r w:rsidRPr="00BB6AB0">
        <w:rPr>
          <w:rFonts w:asciiTheme="minorEastAsia" w:hAnsiTheme="minorEastAsia" w:cs="宋体" w:hint="eastAsia"/>
          <w:kern w:val="0"/>
          <w:szCs w:val="21"/>
          <w:shd w:val="clear" w:color="auto" w:fill="FFFFFF"/>
          <w:lang/>
        </w:rPr>
        <w:t>分）</w:t>
      </w:r>
    </w:p>
    <w:p w:rsidR="000C02EA" w:rsidRPr="00BB6AB0" w:rsidRDefault="000C02EA" w:rsidP="00BB6AB0">
      <w:pPr>
        <w:widowControl/>
        <w:jc w:val="left"/>
        <w:rPr>
          <w:rFonts w:asciiTheme="minorEastAsia" w:hAnsiTheme="minorEastAsia"/>
          <w:szCs w:val="21"/>
        </w:rPr>
      </w:pPr>
    </w:p>
    <w:p w:rsidR="000C02EA" w:rsidRPr="00BB6AB0" w:rsidRDefault="000C02EA" w:rsidP="00BB6AB0">
      <w:pPr>
        <w:rPr>
          <w:rStyle w:val="a4"/>
          <w:rFonts w:asciiTheme="minorEastAsia" w:hAnsiTheme="minorEastAsia" w:cs="黑体"/>
          <w:szCs w:val="21"/>
          <w:shd w:val="clear" w:color="auto" w:fill="FFFFFF"/>
        </w:rPr>
      </w:pPr>
      <w:bookmarkStart w:id="0" w:name="_GoBack"/>
      <w:bookmarkEnd w:id="0"/>
    </w:p>
    <w:sectPr w:rsidR="000C02EA" w:rsidRPr="00BB6AB0" w:rsidSect="000C02EA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AB0" w:rsidRDefault="00BB6AB0" w:rsidP="00BB6AB0">
      <w:r>
        <w:separator/>
      </w:r>
    </w:p>
  </w:endnote>
  <w:endnote w:type="continuationSeparator" w:id="1">
    <w:p w:rsidR="00BB6AB0" w:rsidRDefault="00BB6AB0" w:rsidP="00BB6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37813"/>
      <w:docPartObj>
        <w:docPartGallery w:val="Page Numbers (Bottom of Page)"/>
        <w:docPartUnique/>
      </w:docPartObj>
    </w:sdtPr>
    <w:sdtEndPr>
      <w:rPr>
        <w:rFonts w:ascii="楷体" w:eastAsia="楷体" w:hAnsi="楷体"/>
        <w:b/>
        <w:color w:val="FF0000"/>
      </w:rPr>
    </w:sdtEndPr>
    <w:sdtContent>
      <w:sdt>
        <w:sdtPr>
          <w:id w:val="171357217"/>
          <w:docPartObj>
            <w:docPartGallery w:val="Page Numbers (Top of Page)"/>
            <w:docPartUnique/>
          </w:docPartObj>
        </w:sdtPr>
        <w:sdtEndPr>
          <w:rPr>
            <w:rFonts w:ascii="楷体" w:eastAsia="楷体" w:hAnsi="楷体"/>
            <w:b/>
            <w:color w:val="FF0000"/>
          </w:rPr>
        </w:sdtEndPr>
        <w:sdtContent>
          <w:p w:rsidR="00BB6AB0" w:rsidRPr="00BB6AB0" w:rsidRDefault="00BB6AB0">
            <w:pPr>
              <w:pStyle w:val="a8"/>
              <w:jc w:val="center"/>
              <w:rPr>
                <w:rFonts w:ascii="楷体" w:eastAsia="楷体" w:hAnsi="楷体"/>
                <w:b/>
                <w:color w:val="FF0000"/>
              </w:rPr>
            </w:pPr>
            <w:r w:rsidRPr="00BB6AB0">
              <w:rPr>
                <w:rFonts w:ascii="楷体" w:eastAsia="楷体" w:hAnsi="楷体" w:hint="eastAsia"/>
                <w:b/>
                <w:color w:val="FF0000"/>
              </w:rPr>
              <w:t>（</w:t>
            </w:r>
            <w:r w:rsidRPr="00BB6AB0">
              <w:rPr>
                <w:rFonts w:ascii="楷体" w:eastAsia="楷体" w:hAnsi="楷体" w:hint="eastAsia"/>
                <w:b/>
                <w:color w:val="FF0000"/>
              </w:rPr>
              <w:t>作业4）</w:t>
            </w:r>
            <w:r w:rsidRPr="00BB6AB0">
              <w:rPr>
                <w:rFonts w:ascii="楷体" w:eastAsia="楷体" w:hAnsi="楷体"/>
                <w:b/>
                <w:color w:val="FF0000"/>
                <w:lang w:val="zh-CN"/>
              </w:rPr>
              <w:t xml:space="preserve"> </w:t>
            </w:r>
            <w:r w:rsidRPr="00BB6AB0">
              <w:rPr>
                <w:rFonts w:ascii="楷体" w:eastAsia="楷体" w:hAnsi="楷体"/>
                <w:b/>
                <w:color w:val="FF0000"/>
              </w:rPr>
              <w:fldChar w:fldCharType="begin"/>
            </w:r>
            <w:r w:rsidRPr="00BB6AB0">
              <w:rPr>
                <w:rFonts w:ascii="楷体" w:eastAsia="楷体" w:hAnsi="楷体"/>
                <w:b/>
                <w:color w:val="FF0000"/>
              </w:rPr>
              <w:instrText>PAGE</w:instrText>
            </w:r>
            <w:r w:rsidRPr="00BB6AB0">
              <w:rPr>
                <w:rFonts w:ascii="楷体" w:eastAsia="楷体" w:hAnsi="楷体"/>
                <w:b/>
                <w:color w:val="FF0000"/>
              </w:rPr>
              <w:fldChar w:fldCharType="separate"/>
            </w:r>
            <w:r>
              <w:rPr>
                <w:rFonts w:ascii="楷体" w:eastAsia="楷体" w:hAnsi="楷体"/>
                <w:b/>
                <w:noProof/>
                <w:color w:val="FF0000"/>
              </w:rPr>
              <w:t>2</w:t>
            </w:r>
            <w:r w:rsidRPr="00BB6AB0">
              <w:rPr>
                <w:rFonts w:ascii="楷体" w:eastAsia="楷体" w:hAnsi="楷体"/>
                <w:b/>
                <w:color w:val="FF0000"/>
              </w:rPr>
              <w:fldChar w:fldCharType="end"/>
            </w:r>
            <w:r w:rsidRPr="00BB6AB0">
              <w:rPr>
                <w:rFonts w:ascii="楷体" w:eastAsia="楷体" w:hAnsi="楷体"/>
                <w:b/>
                <w:color w:val="FF0000"/>
                <w:lang w:val="zh-CN"/>
              </w:rPr>
              <w:t xml:space="preserve"> / </w:t>
            </w:r>
            <w:r w:rsidRPr="00BB6AB0">
              <w:rPr>
                <w:rFonts w:ascii="楷体" w:eastAsia="楷体" w:hAnsi="楷体"/>
                <w:b/>
                <w:color w:val="FF0000"/>
              </w:rPr>
              <w:fldChar w:fldCharType="begin"/>
            </w:r>
            <w:r w:rsidRPr="00BB6AB0">
              <w:rPr>
                <w:rFonts w:ascii="楷体" w:eastAsia="楷体" w:hAnsi="楷体"/>
                <w:b/>
                <w:color w:val="FF0000"/>
              </w:rPr>
              <w:instrText>NUMPAGES</w:instrText>
            </w:r>
            <w:r w:rsidRPr="00BB6AB0">
              <w:rPr>
                <w:rFonts w:ascii="楷体" w:eastAsia="楷体" w:hAnsi="楷体"/>
                <w:b/>
                <w:color w:val="FF0000"/>
              </w:rPr>
              <w:fldChar w:fldCharType="separate"/>
            </w:r>
            <w:r>
              <w:rPr>
                <w:rFonts w:ascii="楷体" w:eastAsia="楷体" w:hAnsi="楷体"/>
                <w:b/>
                <w:noProof/>
                <w:color w:val="FF0000"/>
              </w:rPr>
              <w:t>4</w:t>
            </w:r>
            <w:r w:rsidRPr="00BB6AB0">
              <w:rPr>
                <w:rFonts w:ascii="楷体" w:eastAsia="楷体" w:hAnsi="楷体"/>
                <w:b/>
                <w:color w:val="FF0000"/>
              </w:rPr>
              <w:fldChar w:fldCharType="end"/>
            </w:r>
            <w:r w:rsidRPr="00BB6AB0">
              <w:rPr>
                <w:rFonts w:ascii="楷体" w:eastAsia="楷体" w:hAnsi="楷体" w:hint="eastAsia"/>
                <w:b/>
                <w:color w:val="FF0000"/>
              </w:rPr>
              <w:t>（</w:t>
            </w:r>
            <w:r w:rsidRPr="00BB6AB0">
              <w:rPr>
                <w:rStyle w:val="a4"/>
                <w:rFonts w:ascii="楷体" w:eastAsia="楷体" w:hAnsi="楷体" w:cs="黑体"/>
                <w:b w:val="0"/>
                <w:color w:val="FF0000"/>
                <w:shd w:val="clear" w:color="auto" w:fill="FFFFFF"/>
              </w:rPr>
              <w:t>20届云南省曲靖市</w:t>
            </w:r>
            <w:proofErr w:type="gramStart"/>
            <w:r w:rsidRPr="00BB6AB0">
              <w:rPr>
                <w:rStyle w:val="a4"/>
                <w:rFonts w:ascii="楷体" w:eastAsia="楷体" w:hAnsi="楷体" w:cs="黑体"/>
                <w:b w:val="0"/>
                <w:color w:val="FF0000"/>
                <w:shd w:val="clear" w:color="auto" w:fill="FFFFFF"/>
              </w:rPr>
              <w:t>高三文综政治</w:t>
            </w:r>
            <w:proofErr w:type="gramEnd"/>
            <w:r w:rsidRPr="00BB6AB0">
              <w:rPr>
                <w:rFonts w:ascii="楷体" w:eastAsia="楷体" w:hAnsi="楷体" w:hint="eastAsia"/>
                <w:b/>
                <w:color w:val="FF0000"/>
              </w:rPr>
              <w:t>）</w:t>
            </w:r>
          </w:p>
        </w:sdtContent>
      </w:sdt>
    </w:sdtContent>
  </w:sdt>
  <w:p w:rsidR="00BB6AB0" w:rsidRDefault="00BB6AB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AB0" w:rsidRDefault="00BB6AB0" w:rsidP="00BB6AB0">
      <w:r>
        <w:separator/>
      </w:r>
    </w:p>
  </w:footnote>
  <w:footnote w:type="continuationSeparator" w:id="1">
    <w:p w:rsidR="00BB6AB0" w:rsidRDefault="00BB6AB0" w:rsidP="00BB6A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C02EA"/>
    <w:rsid w:val="000C02EA"/>
    <w:rsid w:val="00BB6AB0"/>
    <w:rsid w:val="733C4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02E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C02E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0C02EA"/>
    <w:rPr>
      <w:b/>
    </w:rPr>
  </w:style>
  <w:style w:type="character" w:styleId="a5">
    <w:name w:val="Hyperlink"/>
    <w:basedOn w:val="a0"/>
    <w:rsid w:val="000C02EA"/>
    <w:rPr>
      <w:color w:val="0000FF"/>
      <w:u w:val="single"/>
    </w:rPr>
  </w:style>
  <w:style w:type="paragraph" w:styleId="a6">
    <w:name w:val="Balloon Text"/>
    <w:basedOn w:val="a"/>
    <w:link w:val="Char"/>
    <w:rsid w:val="00BB6AB0"/>
    <w:rPr>
      <w:sz w:val="18"/>
      <w:szCs w:val="18"/>
    </w:rPr>
  </w:style>
  <w:style w:type="character" w:customStyle="1" w:styleId="Char">
    <w:name w:val="批注框文本 Char"/>
    <w:basedOn w:val="a0"/>
    <w:link w:val="a6"/>
    <w:rsid w:val="00BB6AB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Char0"/>
    <w:rsid w:val="00BB6A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BB6AB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uiPriority w:val="99"/>
    <w:rsid w:val="00BB6A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BB6AB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z3.2003y.net/117787/uploadpic/2020010622291076558.jpg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z3.2003y.net/117787/uploadpic/2020010622404696390.jp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z3.2003y.net/117787/uploadpic/2020010622404696390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3.2003y.net/117787/uploadpic/2020010622393318569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4058</Words>
  <Characters>1021</Characters>
  <Application>Microsoft Office Word</Application>
  <DocSecurity>0</DocSecurity>
  <Lines>8</Lines>
  <Paragraphs>10</Paragraphs>
  <ScaleCrop>false</ScaleCrop>
  <Company/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zhkt</dc:creator>
  <cp:lastModifiedBy>lenovo</cp:lastModifiedBy>
  <cp:revision>2</cp:revision>
  <dcterms:created xsi:type="dcterms:W3CDTF">2014-10-29T12:08:00Z</dcterms:created>
  <dcterms:modified xsi:type="dcterms:W3CDTF">2020-01-09T06:42:00Z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